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1702" w14:textId="77777777" w:rsidR="00A60204" w:rsidRDefault="00A60204" w:rsidP="00A60204">
      <w:pPr>
        <w:shd w:val="clear" w:color="auto" w:fill="FFFFFF"/>
        <w:rPr>
          <w:rFonts w:ascii="Arial" w:eastAsia="Times New Roman" w:hAnsi="Arial" w:cs="Arial"/>
          <w:color w:val="4A4A4A"/>
        </w:rPr>
      </w:pPr>
      <w:r w:rsidRPr="00346B30">
        <w:rPr>
          <w:rFonts w:ascii="Arial" w:eastAsia="Times New Roman" w:hAnsi="Arial" w:cs="Arial"/>
          <w:color w:val="4A4A4A"/>
        </w:rPr>
        <w:t>Innovation Care Partners</w:t>
      </w:r>
    </w:p>
    <w:p w14:paraId="58451BA4" w14:textId="77777777" w:rsidR="00B018FC" w:rsidRPr="00346B30" w:rsidRDefault="00B018FC" w:rsidP="00346B30">
      <w:pPr>
        <w:pBdr>
          <w:right w:val="single" w:sz="6" w:space="0" w:color="E1E1E1"/>
        </w:pBdr>
        <w:rPr>
          <w:rFonts w:ascii="Arial" w:eastAsia="Times New Roman" w:hAnsi="Arial" w:cs="Arial"/>
          <w:kern w:val="36"/>
        </w:rPr>
      </w:pPr>
      <w:r w:rsidRPr="00346B30">
        <w:rPr>
          <w:rFonts w:ascii="Arial" w:eastAsia="Times New Roman" w:hAnsi="Arial" w:cs="Arial"/>
          <w:kern w:val="36"/>
        </w:rPr>
        <w:t>Public Disclosure of an Arrangement for which ACO Waiver Protection is Sought</w:t>
      </w:r>
    </w:p>
    <w:p w14:paraId="7C8138FD" w14:textId="77777777" w:rsidR="00A60204" w:rsidRPr="00346B30" w:rsidRDefault="00A60204" w:rsidP="00346B30">
      <w:pPr>
        <w:shd w:val="clear" w:color="auto" w:fill="FFFFFF"/>
        <w:rPr>
          <w:rFonts w:ascii="Arial" w:eastAsia="Times New Roman" w:hAnsi="Arial" w:cs="Arial"/>
          <w:color w:val="4A4A4A"/>
        </w:rPr>
      </w:pPr>
    </w:p>
    <w:p w14:paraId="7E178669" w14:textId="1C3C61A0" w:rsidR="00B018FC" w:rsidRPr="00346B30" w:rsidRDefault="00B018FC" w:rsidP="00A60204">
      <w:pPr>
        <w:shd w:val="clear" w:color="auto" w:fill="FFFFFF"/>
        <w:jc w:val="both"/>
        <w:rPr>
          <w:rFonts w:ascii="Arial" w:eastAsia="Times New Roman" w:hAnsi="Arial" w:cs="Arial"/>
          <w:color w:val="4A4A4A"/>
        </w:rPr>
      </w:pPr>
      <w:r w:rsidRPr="00346B30">
        <w:rPr>
          <w:rFonts w:ascii="Arial" w:eastAsia="Times New Roman" w:hAnsi="Arial" w:cs="Arial"/>
          <w:color w:val="4A4A4A"/>
        </w:rPr>
        <w:t>Pursuant to Section 1899(f) of the Social Security Act (42 U.S.C. § 1395jjj) the Secretary of the Department of Health and Human Services (“</w:t>
      </w:r>
      <w:r w:rsidRPr="00346B30">
        <w:rPr>
          <w:rFonts w:ascii="Arial" w:eastAsia="Times New Roman" w:hAnsi="Arial" w:cs="Arial"/>
          <w:b/>
          <w:bCs/>
          <w:color w:val="4A4A4A"/>
        </w:rPr>
        <w:t>HHS</w:t>
      </w:r>
      <w:r w:rsidRPr="00346B30">
        <w:rPr>
          <w:rFonts w:ascii="Arial" w:eastAsia="Times New Roman" w:hAnsi="Arial" w:cs="Arial"/>
          <w:color w:val="4A4A4A"/>
        </w:rPr>
        <w:t>”) has made available certain waivers of federal fraud and abuse laws</w:t>
      </w:r>
      <w:r w:rsidR="00346B30" w:rsidRPr="00346B30">
        <w:rPr>
          <w:rFonts w:ascii="Arial" w:eastAsia="Times New Roman" w:hAnsi="Arial" w:cs="Arial"/>
          <w:color w:val="4A4A4A"/>
        </w:rPr>
        <w:t xml:space="preserve"> (“</w:t>
      </w:r>
      <w:r w:rsidR="00346B30" w:rsidRPr="00346B30">
        <w:rPr>
          <w:rFonts w:ascii="Arial" w:eastAsia="Times New Roman" w:hAnsi="Arial" w:cs="Arial"/>
          <w:b/>
          <w:bCs/>
          <w:color w:val="4A4A4A"/>
        </w:rPr>
        <w:t>Waivers</w:t>
      </w:r>
      <w:r w:rsidR="00346B30" w:rsidRPr="00346B30">
        <w:rPr>
          <w:rFonts w:ascii="Arial" w:eastAsia="Times New Roman" w:hAnsi="Arial" w:cs="Arial"/>
          <w:color w:val="4A4A4A"/>
        </w:rPr>
        <w:t>”)</w:t>
      </w:r>
      <w:r w:rsidRPr="00346B30">
        <w:rPr>
          <w:rFonts w:ascii="Arial" w:eastAsia="Times New Roman" w:hAnsi="Arial" w:cs="Arial"/>
          <w:color w:val="4A4A4A"/>
        </w:rPr>
        <w:t xml:space="preserve"> in connection with the operation of accountable care organizations (“</w:t>
      </w:r>
      <w:r w:rsidRPr="00346B30">
        <w:rPr>
          <w:rFonts w:ascii="Arial" w:eastAsia="Times New Roman" w:hAnsi="Arial" w:cs="Arial"/>
          <w:b/>
          <w:bCs/>
          <w:color w:val="4A4A4A"/>
        </w:rPr>
        <w:t>ACOs</w:t>
      </w:r>
      <w:r w:rsidRPr="00346B30">
        <w:rPr>
          <w:rFonts w:ascii="Arial" w:eastAsia="Times New Roman" w:hAnsi="Arial" w:cs="Arial"/>
          <w:color w:val="4A4A4A"/>
        </w:rPr>
        <w:t>”) that have entered into a participation agreement, as defined under 42 C.F.R. § 425.20, under the Medicare Shared Savings Program (“</w:t>
      </w:r>
      <w:r w:rsidRPr="00346B30">
        <w:rPr>
          <w:rFonts w:ascii="Arial" w:eastAsia="Times New Roman" w:hAnsi="Arial" w:cs="Arial"/>
          <w:b/>
          <w:bCs/>
          <w:color w:val="4A4A4A"/>
        </w:rPr>
        <w:t>MSSP</w:t>
      </w:r>
      <w:r w:rsidRPr="00346B30">
        <w:rPr>
          <w:rFonts w:ascii="Arial" w:eastAsia="Times New Roman" w:hAnsi="Arial" w:cs="Arial"/>
          <w:color w:val="4A4A4A"/>
        </w:rPr>
        <w:t>”) with the Centers for Medicare &amp; Medicaid Services (“</w:t>
      </w:r>
      <w:r w:rsidRPr="00346B30">
        <w:rPr>
          <w:rFonts w:ascii="Arial" w:eastAsia="Times New Roman" w:hAnsi="Arial" w:cs="Arial"/>
          <w:b/>
          <w:bCs/>
          <w:color w:val="4A4A4A"/>
        </w:rPr>
        <w:t>CMS</w:t>
      </w:r>
      <w:r w:rsidRPr="00346B30">
        <w:rPr>
          <w:rFonts w:ascii="Arial" w:eastAsia="Times New Roman" w:hAnsi="Arial" w:cs="Arial"/>
          <w:color w:val="4A4A4A"/>
        </w:rPr>
        <w:t>”).</w:t>
      </w:r>
    </w:p>
    <w:p w14:paraId="678C65D9" w14:textId="77777777" w:rsidR="00B018FC" w:rsidRPr="00346B30" w:rsidRDefault="00B018FC" w:rsidP="00A60204">
      <w:pPr>
        <w:shd w:val="clear" w:color="auto" w:fill="FFFFFF"/>
        <w:jc w:val="both"/>
        <w:rPr>
          <w:rFonts w:ascii="Arial" w:eastAsia="Times New Roman" w:hAnsi="Arial" w:cs="Arial"/>
          <w:color w:val="4A4A4A"/>
        </w:rPr>
      </w:pPr>
    </w:p>
    <w:p w14:paraId="102C31D7" w14:textId="77777777" w:rsidR="00B018FC" w:rsidRPr="00346B30" w:rsidRDefault="00B018FC" w:rsidP="00A60204">
      <w:pPr>
        <w:shd w:val="clear" w:color="auto" w:fill="FFFFFF"/>
        <w:jc w:val="both"/>
        <w:rPr>
          <w:rFonts w:ascii="Arial" w:eastAsia="Times New Roman" w:hAnsi="Arial" w:cs="Arial"/>
          <w:color w:val="4A4A4A"/>
        </w:rPr>
      </w:pPr>
      <w:r w:rsidRPr="00346B30">
        <w:rPr>
          <w:rFonts w:ascii="Arial" w:eastAsia="Times New Roman" w:hAnsi="Arial" w:cs="Arial"/>
          <w:color w:val="4A4A4A"/>
        </w:rPr>
        <w:t>Scottsdale Healthcare Partners, LLC d/b/a Innovation Care Partners (“</w:t>
      </w:r>
      <w:r w:rsidRPr="00346B30">
        <w:rPr>
          <w:rFonts w:ascii="Arial" w:eastAsia="Times New Roman" w:hAnsi="Arial" w:cs="Arial"/>
          <w:b/>
          <w:bCs/>
          <w:color w:val="4A4A4A"/>
        </w:rPr>
        <w:t>IPC ACO</w:t>
      </w:r>
      <w:r w:rsidRPr="00346B30">
        <w:rPr>
          <w:rFonts w:ascii="Arial" w:eastAsia="Times New Roman" w:hAnsi="Arial" w:cs="Arial"/>
          <w:color w:val="4A4A4A"/>
        </w:rPr>
        <w:t>”) has entered into such a participation agreement with CMS and is in good standing thereunder, pursuant to which ICP ACO is participating in the MSSP. </w:t>
      </w:r>
    </w:p>
    <w:p w14:paraId="030EE1DB" w14:textId="77777777" w:rsidR="00346B30" w:rsidRPr="00346B30" w:rsidRDefault="00346B30" w:rsidP="00A60204">
      <w:pPr>
        <w:shd w:val="clear" w:color="auto" w:fill="FFFFFF"/>
        <w:jc w:val="both"/>
        <w:rPr>
          <w:rFonts w:ascii="Arial" w:hAnsi="Arial" w:cs="Arial"/>
        </w:rPr>
      </w:pPr>
    </w:p>
    <w:p w14:paraId="0A80D030" w14:textId="25806ACA" w:rsidR="00B018FC" w:rsidRDefault="00346B30" w:rsidP="00A60204">
      <w:pPr>
        <w:shd w:val="clear" w:color="auto" w:fill="FFFFFF"/>
        <w:jc w:val="both"/>
        <w:rPr>
          <w:rFonts w:ascii="Arial" w:hAnsi="Arial" w:cs="Arial"/>
        </w:rPr>
      </w:pPr>
      <w:r w:rsidRPr="00346B30">
        <w:rPr>
          <w:rFonts w:ascii="Arial" w:hAnsi="Arial" w:cs="Arial"/>
        </w:rPr>
        <w:t>The Board of Managers of</w:t>
      </w:r>
      <w:r w:rsidRPr="00346B30">
        <w:rPr>
          <w:rFonts w:ascii="Arial" w:hAnsi="Arial" w:cs="Arial"/>
        </w:rPr>
        <w:t xml:space="preserve"> IPC ACO</w:t>
      </w:r>
      <w:r w:rsidRPr="00346B30">
        <w:rPr>
          <w:rFonts w:ascii="Arial" w:hAnsi="Arial" w:cs="Arial"/>
        </w:rPr>
        <w:t xml:space="preserve"> has approved the following arrangements as detailed below under the </w:t>
      </w:r>
      <w:r w:rsidRPr="00346B30">
        <w:rPr>
          <w:rFonts w:ascii="Arial" w:hAnsi="Arial" w:cs="Arial"/>
        </w:rPr>
        <w:t>W</w:t>
      </w:r>
      <w:r w:rsidRPr="00346B30">
        <w:rPr>
          <w:rFonts w:ascii="Arial" w:hAnsi="Arial" w:cs="Arial"/>
        </w:rPr>
        <w:t xml:space="preserve">aivers and has made a </w:t>
      </w:r>
      <w:r w:rsidRPr="00346B30">
        <w:rPr>
          <w:rFonts w:ascii="Arial" w:hAnsi="Arial" w:cs="Arial"/>
          <w:i/>
          <w:iCs/>
        </w:rPr>
        <w:t>bona fide</w:t>
      </w:r>
      <w:r w:rsidRPr="00346B30">
        <w:rPr>
          <w:rFonts w:ascii="Arial" w:hAnsi="Arial" w:cs="Arial"/>
        </w:rPr>
        <w:t xml:space="preserve"> determination that such arrangements are reasonably related to the purposes of the MSSP. Pursuant to the final rule addressing “Waivers in Connection </w:t>
      </w:r>
      <w:proofErr w:type="gramStart"/>
      <w:r w:rsidRPr="00346B30">
        <w:rPr>
          <w:rFonts w:ascii="Arial" w:hAnsi="Arial" w:cs="Arial"/>
        </w:rPr>
        <w:t>With</w:t>
      </w:r>
      <w:proofErr w:type="gramEnd"/>
      <w:r w:rsidRPr="00346B30">
        <w:rPr>
          <w:rFonts w:ascii="Arial" w:hAnsi="Arial" w:cs="Arial"/>
        </w:rPr>
        <w:t xml:space="preserve"> the Shared Savings Program,” </w:t>
      </w:r>
      <w:r w:rsidRPr="00346B30">
        <w:rPr>
          <w:rFonts w:ascii="Arial" w:hAnsi="Arial" w:cs="Arial"/>
        </w:rPr>
        <w:t xml:space="preserve">ICP </w:t>
      </w:r>
      <w:r w:rsidRPr="00346B30">
        <w:rPr>
          <w:rFonts w:ascii="Arial" w:hAnsi="Arial" w:cs="Arial"/>
        </w:rPr>
        <w:t>ACO identifies the arrangements for which waiver protection is sought as follows:</w:t>
      </w:r>
    </w:p>
    <w:p w14:paraId="4A8D90AA" w14:textId="77777777" w:rsidR="00A60204" w:rsidRPr="00346B30" w:rsidRDefault="00A60204" w:rsidP="00A60204">
      <w:pPr>
        <w:shd w:val="clear" w:color="auto" w:fill="FFFFFF"/>
        <w:jc w:val="both"/>
        <w:rPr>
          <w:rFonts w:ascii="Arial" w:eastAsia="Times New Roman" w:hAnsi="Arial" w:cs="Arial"/>
          <w:color w:val="4A4A4A"/>
        </w:rPr>
      </w:pPr>
    </w:p>
    <w:p w14:paraId="596ABB94" w14:textId="0E24FE3A" w:rsidR="000A1CEC" w:rsidRDefault="000A1CEC" w:rsidP="00A60204">
      <w:pPr>
        <w:pStyle w:val="BodyText"/>
        <w:spacing w:after="0"/>
        <w:ind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46B30">
        <w:rPr>
          <w:rFonts w:ascii="Arial" w:hAnsi="Arial" w:cs="Arial"/>
          <w:b/>
          <w:bCs/>
          <w:sz w:val="22"/>
          <w:szCs w:val="22"/>
          <w:u w:val="single"/>
        </w:rPr>
        <w:t>Care Management Services Program</w:t>
      </w:r>
    </w:p>
    <w:p w14:paraId="3C39A0B9" w14:textId="77777777" w:rsidR="002C7382" w:rsidRPr="00346B30" w:rsidRDefault="002C7382" w:rsidP="00A60204">
      <w:pPr>
        <w:pStyle w:val="BodyText"/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14:paraId="6EAAF1E2" w14:textId="2E88B020" w:rsidR="000A1CEC" w:rsidRPr="00346B30" w:rsidRDefault="000A1CEC" w:rsidP="00A60204">
      <w:pPr>
        <w:pStyle w:val="ListNumber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46B30">
        <w:rPr>
          <w:rFonts w:ascii="Arial" w:hAnsi="Arial" w:cs="Arial"/>
          <w:sz w:val="22"/>
          <w:szCs w:val="22"/>
        </w:rPr>
        <w:t xml:space="preserve">Under the Care Management Services Program, </w:t>
      </w:r>
      <w:r w:rsidR="00346B30" w:rsidRPr="00346B30">
        <w:rPr>
          <w:rFonts w:ascii="Arial" w:hAnsi="Arial" w:cs="Arial"/>
          <w:sz w:val="22"/>
          <w:szCs w:val="22"/>
        </w:rPr>
        <w:t>ICP ACO</w:t>
      </w:r>
      <w:r w:rsidRPr="00346B30">
        <w:rPr>
          <w:rFonts w:ascii="Arial" w:hAnsi="Arial" w:cs="Arial"/>
          <w:sz w:val="22"/>
          <w:szCs w:val="22"/>
        </w:rPr>
        <w:t xml:space="preserve"> will contract with one or more of its participating primary care practices (each a “</w:t>
      </w:r>
      <w:r w:rsidRPr="002C7382">
        <w:rPr>
          <w:rFonts w:ascii="Arial" w:hAnsi="Arial" w:cs="Arial"/>
          <w:b/>
          <w:bCs/>
          <w:sz w:val="22"/>
          <w:szCs w:val="22"/>
        </w:rPr>
        <w:t>Practice</w:t>
      </w:r>
      <w:r w:rsidRPr="00346B30">
        <w:rPr>
          <w:rFonts w:ascii="Arial" w:hAnsi="Arial" w:cs="Arial"/>
          <w:sz w:val="22"/>
          <w:szCs w:val="22"/>
        </w:rPr>
        <w:t xml:space="preserve">”) to provide, through </w:t>
      </w:r>
      <w:r w:rsidR="00346B30" w:rsidRPr="00346B30">
        <w:rPr>
          <w:rFonts w:ascii="Arial" w:hAnsi="Arial" w:cs="Arial"/>
          <w:sz w:val="22"/>
          <w:szCs w:val="22"/>
        </w:rPr>
        <w:t>ICP ACO</w:t>
      </w:r>
      <w:r w:rsidRPr="00346B30">
        <w:rPr>
          <w:rFonts w:ascii="Arial" w:hAnsi="Arial" w:cs="Arial"/>
          <w:sz w:val="22"/>
          <w:szCs w:val="22"/>
        </w:rPr>
        <w:t xml:space="preserve">’s </w:t>
      </w:r>
      <w:bookmarkStart w:id="0" w:name="_Hlk96438842"/>
      <w:r w:rsidRPr="00346B30">
        <w:rPr>
          <w:rFonts w:ascii="Arial" w:hAnsi="Arial" w:cs="Arial"/>
          <w:sz w:val="22"/>
          <w:szCs w:val="22"/>
        </w:rPr>
        <w:t xml:space="preserve">qualified </w:t>
      </w:r>
      <w:bookmarkEnd w:id="0"/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oordinators, and at the direction of and under the supervision of the Practice, certain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m</w:t>
      </w:r>
      <w:r w:rsidRPr="00346B30">
        <w:rPr>
          <w:rFonts w:ascii="Arial" w:hAnsi="Arial" w:cs="Arial"/>
          <w:sz w:val="22"/>
          <w:szCs w:val="22"/>
        </w:rPr>
        <w:t xml:space="preserve">anagement </w:t>
      </w:r>
      <w:r w:rsidR="002C7382">
        <w:rPr>
          <w:rFonts w:ascii="Arial" w:hAnsi="Arial" w:cs="Arial"/>
          <w:sz w:val="22"/>
          <w:szCs w:val="22"/>
        </w:rPr>
        <w:t>s</w:t>
      </w:r>
      <w:r w:rsidRPr="00346B30">
        <w:rPr>
          <w:rFonts w:ascii="Arial" w:hAnsi="Arial" w:cs="Arial"/>
          <w:sz w:val="22"/>
          <w:szCs w:val="22"/>
        </w:rPr>
        <w:t>ervices for</w:t>
      </w:r>
      <w:r w:rsidRPr="00346B3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C7382">
        <w:rPr>
          <w:rFonts w:ascii="Arial" w:hAnsi="Arial" w:cs="Arial"/>
          <w:color w:val="333333"/>
          <w:sz w:val="22"/>
          <w:szCs w:val="22"/>
          <w:shd w:val="clear" w:color="auto" w:fill="FFFFFF"/>
        </w:rPr>
        <w:t>patients</w:t>
      </w:r>
      <w:r w:rsidRPr="00346B3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of the Practice</w:t>
      </w:r>
      <w:r w:rsidR="002C7382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346B3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30A82FD5" w14:textId="77777777" w:rsidR="002C7382" w:rsidRDefault="002C7382" w:rsidP="00A60204">
      <w:pPr>
        <w:pStyle w:val="ListNumber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2F0E5221" w14:textId="2A672ADF" w:rsidR="000A1CEC" w:rsidRPr="00346B30" w:rsidRDefault="000A1CEC" w:rsidP="00A60204">
      <w:pPr>
        <w:pStyle w:val="ListNumber"/>
        <w:numPr>
          <w:ilvl w:val="0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46B30">
        <w:rPr>
          <w:rFonts w:ascii="Arial" w:hAnsi="Arial" w:cs="Arial"/>
          <w:sz w:val="22"/>
          <w:szCs w:val="22"/>
        </w:rPr>
        <w:t xml:space="preserve">To the extent that the Practice does not bill or submit a claim for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m</w:t>
      </w:r>
      <w:r w:rsidRPr="00346B30">
        <w:rPr>
          <w:rFonts w:ascii="Arial" w:hAnsi="Arial" w:cs="Arial"/>
          <w:sz w:val="22"/>
          <w:szCs w:val="22"/>
        </w:rPr>
        <w:t xml:space="preserve">anagement </w:t>
      </w:r>
      <w:r w:rsidR="002C7382">
        <w:rPr>
          <w:rFonts w:ascii="Arial" w:hAnsi="Arial" w:cs="Arial"/>
          <w:sz w:val="22"/>
          <w:szCs w:val="22"/>
        </w:rPr>
        <w:t>s</w:t>
      </w:r>
      <w:r w:rsidRPr="00346B30">
        <w:rPr>
          <w:rFonts w:ascii="Arial" w:hAnsi="Arial" w:cs="Arial"/>
          <w:sz w:val="22"/>
          <w:szCs w:val="22"/>
        </w:rPr>
        <w:t xml:space="preserve">ervices provided by </w:t>
      </w:r>
      <w:r w:rsidR="00346B30" w:rsidRPr="00346B30">
        <w:rPr>
          <w:rFonts w:ascii="Arial" w:hAnsi="Arial" w:cs="Arial"/>
          <w:sz w:val="22"/>
          <w:szCs w:val="22"/>
        </w:rPr>
        <w:t>ICP ACO</w:t>
      </w:r>
      <w:r w:rsidRPr="00346B30">
        <w:rPr>
          <w:rFonts w:ascii="Arial" w:hAnsi="Arial" w:cs="Arial"/>
          <w:sz w:val="22"/>
          <w:szCs w:val="22"/>
        </w:rPr>
        <w:t xml:space="preserve">’s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oordinators, the </w:t>
      </w:r>
      <w:r w:rsidR="002C7382">
        <w:rPr>
          <w:rFonts w:ascii="Arial" w:hAnsi="Arial" w:cs="Arial"/>
          <w:sz w:val="22"/>
          <w:szCs w:val="22"/>
        </w:rPr>
        <w:t>P</w:t>
      </w:r>
      <w:r w:rsidRPr="00346B30">
        <w:rPr>
          <w:rFonts w:ascii="Arial" w:hAnsi="Arial" w:cs="Arial"/>
          <w:sz w:val="22"/>
          <w:szCs w:val="22"/>
        </w:rPr>
        <w:t xml:space="preserve">ractice will not owe any fee to </w:t>
      </w:r>
      <w:r w:rsidR="00346B30" w:rsidRPr="00346B30">
        <w:rPr>
          <w:rFonts w:ascii="Arial" w:hAnsi="Arial" w:cs="Arial"/>
          <w:sz w:val="22"/>
          <w:szCs w:val="22"/>
        </w:rPr>
        <w:t>ICP ACO</w:t>
      </w:r>
      <w:r w:rsidRPr="00346B30">
        <w:rPr>
          <w:rFonts w:ascii="Arial" w:hAnsi="Arial" w:cs="Arial"/>
          <w:sz w:val="22"/>
          <w:szCs w:val="22"/>
        </w:rPr>
        <w:t xml:space="preserve"> for the Care Management Service provided by the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oordinators.  </w:t>
      </w:r>
      <w:r w:rsidR="002C7382">
        <w:rPr>
          <w:rFonts w:ascii="Arial" w:hAnsi="Arial" w:cs="Arial"/>
          <w:sz w:val="22"/>
          <w:szCs w:val="22"/>
        </w:rPr>
        <w:t>T</w:t>
      </w:r>
      <w:r w:rsidRPr="00346B30">
        <w:rPr>
          <w:rFonts w:ascii="Arial" w:hAnsi="Arial" w:cs="Arial"/>
          <w:sz w:val="22"/>
          <w:szCs w:val="22"/>
        </w:rPr>
        <w:t xml:space="preserve">he provision of non-billable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are </w:t>
      </w:r>
      <w:r w:rsidR="002C7382">
        <w:rPr>
          <w:rFonts w:ascii="Arial" w:hAnsi="Arial" w:cs="Arial"/>
          <w:sz w:val="22"/>
          <w:szCs w:val="22"/>
        </w:rPr>
        <w:t>m</w:t>
      </w:r>
      <w:r w:rsidRPr="00346B30">
        <w:rPr>
          <w:rFonts w:ascii="Arial" w:hAnsi="Arial" w:cs="Arial"/>
          <w:sz w:val="22"/>
          <w:szCs w:val="22"/>
        </w:rPr>
        <w:t xml:space="preserve">anagement </w:t>
      </w:r>
      <w:r w:rsidR="002C7382">
        <w:rPr>
          <w:rFonts w:ascii="Arial" w:hAnsi="Arial" w:cs="Arial"/>
          <w:sz w:val="22"/>
          <w:szCs w:val="22"/>
        </w:rPr>
        <w:t>s</w:t>
      </w:r>
      <w:r w:rsidRPr="00346B30">
        <w:rPr>
          <w:rFonts w:ascii="Arial" w:hAnsi="Arial" w:cs="Arial"/>
          <w:sz w:val="22"/>
          <w:szCs w:val="22"/>
        </w:rPr>
        <w:t xml:space="preserve">ervices is provided by </w:t>
      </w:r>
      <w:r w:rsidR="00346B30" w:rsidRPr="00346B30">
        <w:rPr>
          <w:rFonts w:ascii="Arial" w:hAnsi="Arial" w:cs="Arial"/>
          <w:sz w:val="22"/>
          <w:szCs w:val="22"/>
        </w:rPr>
        <w:t>ICP ACO</w:t>
      </w:r>
      <w:r w:rsidRPr="00346B30">
        <w:rPr>
          <w:rFonts w:ascii="Arial" w:hAnsi="Arial" w:cs="Arial"/>
          <w:sz w:val="22"/>
          <w:szCs w:val="22"/>
        </w:rPr>
        <w:t xml:space="preserve"> under and in furtherance of its </w:t>
      </w:r>
      <w:r w:rsidR="002C7382">
        <w:rPr>
          <w:rFonts w:ascii="Arial" w:hAnsi="Arial" w:cs="Arial"/>
          <w:sz w:val="22"/>
          <w:szCs w:val="22"/>
        </w:rPr>
        <w:t>c</w:t>
      </w:r>
      <w:r w:rsidRPr="00346B30">
        <w:rPr>
          <w:rFonts w:ascii="Arial" w:hAnsi="Arial" w:cs="Arial"/>
          <w:sz w:val="22"/>
          <w:szCs w:val="22"/>
        </w:rPr>
        <w:t xml:space="preserve">linical </w:t>
      </w:r>
      <w:r w:rsidR="002C7382">
        <w:rPr>
          <w:rFonts w:ascii="Arial" w:hAnsi="Arial" w:cs="Arial"/>
          <w:sz w:val="22"/>
          <w:szCs w:val="22"/>
        </w:rPr>
        <w:t>i</w:t>
      </w:r>
      <w:r w:rsidRPr="00346B30">
        <w:rPr>
          <w:rFonts w:ascii="Arial" w:hAnsi="Arial" w:cs="Arial"/>
          <w:sz w:val="22"/>
          <w:szCs w:val="22"/>
        </w:rPr>
        <w:t xml:space="preserve">ntegration </w:t>
      </w:r>
      <w:r w:rsidR="002C7382">
        <w:rPr>
          <w:rFonts w:ascii="Arial" w:hAnsi="Arial" w:cs="Arial"/>
          <w:sz w:val="22"/>
          <w:szCs w:val="22"/>
        </w:rPr>
        <w:t>p</w:t>
      </w:r>
      <w:r w:rsidRPr="00346B30">
        <w:rPr>
          <w:rFonts w:ascii="Arial" w:hAnsi="Arial" w:cs="Arial"/>
          <w:sz w:val="22"/>
          <w:szCs w:val="22"/>
        </w:rPr>
        <w:t>rogram.</w:t>
      </w:r>
    </w:p>
    <w:p w14:paraId="0AAAE3D2" w14:textId="77777777" w:rsidR="002C7382" w:rsidRDefault="002C7382" w:rsidP="00A60204">
      <w:pPr>
        <w:jc w:val="both"/>
        <w:rPr>
          <w:rFonts w:ascii="Arial" w:hAnsi="Arial" w:cs="Arial"/>
        </w:rPr>
      </w:pPr>
    </w:p>
    <w:p w14:paraId="53718C89" w14:textId="3F3FB90C" w:rsidR="000A1CEC" w:rsidRPr="00346B30" w:rsidRDefault="000A1CEC" w:rsidP="00A60204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346B30">
        <w:rPr>
          <w:rFonts w:ascii="Arial" w:hAnsi="Arial" w:cs="Arial"/>
        </w:rPr>
        <w:t xml:space="preserve">The purposes of this program are to support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’s goals in connection with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>’s “value-based” programs including to (a) improve and expand patient access to medically necessary and appropriate care by enhancing care coordination and transitions of care for primary, specialty and follow-up care in ambulatory, inpatient and other settings; and (b) implement integrated care coordination programs with physicians, care managers, and other providers and staff.</w:t>
      </w:r>
    </w:p>
    <w:p w14:paraId="22CCCDCB" w14:textId="77777777" w:rsidR="00A60204" w:rsidRDefault="00A60204" w:rsidP="00A60204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382528E" w14:textId="21D1802F" w:rsidR="002C7382" w:rsidRDefault="00A60204" w:rsidP="00A60204">
      <w:pPr>
        <w:jc w:val="both"/>
        <w:rPr>
          <w:rFonts w:ascii="Arial" w:eastAsia="Times New Roman" w:hAnsi="Arial" w:cs="Arial"/>
        </w:rPr>
      </w:pPr>
      <w:r w:rsidRPr="00A60204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In-Home Health Care Services Program</w:t>
      </w:r>
      <w:r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Under the In-Home Health Care Services Program, </w:t>
      </w:r>
      <w:r w:rsidR="00346B30" w:rsidRPr="00346B30">
        <w:rPr>
          <w:rFonts w:ascii="Arial" w:hAnsi="Arial" w:cs="Arial"/>
          <w:color w:val="333333"/>
          <w:shd w:val="clear" w:color="auto" w:fill="FFFFFF"/>
        </w:rPr>
        <w:t>ICP ACO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 will contract with Dispatch Health (“</w:t>
      </w:r>
      <w:r w:rsidR="000A1CEC" w:rsidRPr="002C7382">
        <w:rPr>
          <w:rFonts w:ascii="Arial" w:hAnsi="Arial" w:cs="Arial"/>
          <w:b/>
          <w:bCs/>
          <w:color w:val="333333"/>
          <w:shd w:val="clear" w:color="auto" w:fill="FFFFFF"/>
        </w:rPr>
        <w:t>Dispatch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”) and its affiliates to furnish in-home health care services (the “</w:t>
      </w:r>
      <w:r w:rsidR="000A1CEC" w:rsidRPr="002C7382">
        <w:rPr>
          <w:rFonts w:ascii="Arial" w:hAnsi="Arial" w:cs="Arial"/>
          <w:b/>
          <w:bCs/>
          <w:color w:val="333333"/>
          <w:shd w:val="clear" w:color="auto" w:fill="FFFFFF"/>
        </w:rPr>
        <w:t>Services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”) to designated individuals who are patients of </w:t>
      </w:r>
      <w:r w:rsidR="00346B30" w:rsidRPr="00346B30">
        <w:rPr>
          <w:rFonts w:ascii="Arial" w:hAnsi="Arial" w:cs="Arial"/>
          <w:color w:val="333333"/>
          <w:shd w:val="clear" w:color="auto" w:fill="FFFFFF"/>
        </w:rPr>
        <w:t>ICP ACO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’s Participants</w:t>
      </w:r>
      <w:r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The Services shall consist of certain</w:t>
      </w:r>
      <w:r w:rsidR="002C7382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ntegration </w:t>
      </w:r>
      <w:r w:rsidR="002C7382">
        <w:rPr>
          <w:rFonts w:ascii="Arial" w:hAnsi="Arial" w:cs="Arial"/>
          <w:color w:val="333333"/>
          <w:shd w:val="clear" w:color="auto" w:fill="FFFFFF"/>
        </w:rPr>
        <w:t>s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ervices and </w:t>
      </w:r>
      <w:r w:rsidR="002C7382">
        <w:rPr>
          <w:rFonts w:ascii="Arial" w:hAnsi="Arial" w:cs="Arial"/>
          <w:color w:val="333333"/>
          <w:shd w:val="clear" w:color="auto" w:fill="FFFFFF"/>
        </w:rPr>
        <w:t>p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rofessional </w:t>
      </w:r>
      <w:r w:rsidR="002C7382">
        <w:rPr>
          <w:rFonts w:ascii="Arial" w:hAnsi="Arial" w:cs="Arial"/>
          <w:color w:val="333333"/>
          <w:shd w:val="clear" w:color="auto" w:fill="FFFFFF"/>
        </w:rPr>
        <w:t>s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ervices</w:t>
      </w:r>
      <w:r>
        <w:rPr>
          <w:rFonts w:ascii="Arial" w:hAnsi="Arial" w:cs="Arial"/>
          <w:color w:val="333333"/>
          <w:shd w:val="clear" w:color="auto" w:fill="FFFFFF"/>
        </w:rPr>
        <w:t xml:space="preserve">.  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2C7382">
        <w:rPr>
          <w:rFonts w:ascii="Arial" w:hAnsi="Arial" w:cs="Arial"/>
          <w:color w:val="333333"/>
          <w:shd w:val="clear" w:color="auto" w:fill="FFFFFF"/>
        </w:rPr>
        <w:t>i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ntegration </w:t>
      </w:r>
      <w:r w:rsidR="002C7382">
        <w:rPr>
          <w:rFonts w:ascii="Arial" w:hAnsi="Arial" w:cs="Arial"/>
          <w:color w:val="333333"/>
          <w:shd w:val="clear" w:color="auto" w:fill="FFFFFF"/>
        </w:rPr>
        <w:t>se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rvices will include certain technology integration, clinical service integration, and community engagement and outreach integration to facilitate improved patient care coordination between Dispatch and </w:t>
      </w:r>
      <w:r w:rsidR="00346B30" w:rsidRPr="00346B30">
        <w:rPr>
          <w:rFonts w:ascii="Arial" w:hAnsi="Arial" w:cs="Arial"/>
          <w:color w:val="333333"/>
          <w:shd w:val="clear" w:color="auto" w:fill="FFFFFF"/>
        </w:rPr>
        <w:t>ICP ACO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.</w:t>
      </w:r>
      <w:r w:rsidR="002C738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The </w:t>
      </w:r>
      <w:r w:rsidR="002C7382">
        <w:rPr>
          <w:rFonts w:ascii="Arial" w:hAnsi="Arial" w:cs="Arial"/>
          <w:color w:val="333333"/>
          <w:shd w:val="clear" w:color="auto" w:fill="FFFFFF"/>
        </w:rPr>
        <w:t>p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rofessional </w:t>
      </w:r>
      <w:r w:rsidR="002C7382">
        <w:rPr>
          <w:rFonts w:ascii="Arial" w:hAnsi="Arial" w:cs="Arial"/>
          <w:color w:val="333333"/>
          <w:shd w:val="clear" w:color="auto" w:fill="FFFFFF"/>
        </w:rPr>
        <w:t>s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ervices</w:t>
      </w:r>
      <w:r w:rsidR="002C7382">
        <w:rPr>
          <w:rFonts w:ascii="Arial" w:hAnsi="Arial" w:cs="Arial"/>
          <w:color w:val="333333"/>
          <w:shd w:val="clear" w:color="auto" w:fill="FFFFFF"/>
        </w:rPr>
        <w:t xml:space="preserve"> will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 include in-home health care services in the following </w:t>
      </w:r>
      <w:r w:rsidR="002C7382">
        <w:rPr>
          <w:rFonts w:ascii="Arial" w:hAnsi="Arial" w:cs="Arial"/>
          <w:color w:val="333333"/>
          <w:shd w:val="clear" w:color="auto" w:fill="FFFFFF"/>
        </w:rPr>
        <w:t>se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 xml:space="preserve">rvice </w:t>
      </w:r>
      <w:r w:rsidR="002C7382">
        <w:rPr>
          <w:rFonts w:ascii="Arial" w:hAnsi="Arial" w:cs="Arial"/>
          <w:color w:val="333333"/>
          <w:shd w:val="clear" w:color="auto" w:fill="FFFFFF"/>
        </w:rPr>
        <w:t>l</w:t>
      </w:r>
      <w:r w:rsidR="000A1CEC" w:rsidRPr="00346B30">
        <w:rPr>
          <w:rFonts w:ascii="Arial" w:hAnsi="Arial" w:cs="Arial"/>
          <w:color w:val="333333"/>
          <w:shd w:val="clear" w:color="auto" w:fill="FFFFFF"/>
        </w:rPr>
        <w:t>ines:</w:t>
      </w:r>
      <w:r w:rsidR="002C7382">
        <w:rPr>
          <w:rFonts w:ascii="Arial" w:hAnsi="Arial" w:cs="Arial"/>
          <w:color w:val="333333"/>
          <w:shd w:val="clear" w:color="auto" w:fill="FFFFFF"/>
        </w:rPr>
        <w:t xml:space="preserve"> (1) </w:t>
      </w:r>
      <w:r w:rsidR="000A1CEC" w:rsidRPr="00346B30">
        <w:rPr>
          <w:rFonts w:ascii="Arial" w:hAnsi="Arial" w:cs="Arial"/>
        </w:rPr>
        <w:t xml:space="preserve">Acute Care – Emergency room alternative involving “on-demand” </w:t>
      </w:r>
      <w:r w:rsidR="002C7382">
        <w:rPr>
          <w:rFonts w:ascii="Arial" w:hAnsi="Arial" w:cs="Arial"/>
        </w:rPr>
        <w:t>v</w:t>
      </w:r>
      <w:r w:rsidR="000A1CEC" w:rsidRPr="00346B30">
        <w:rPr>
          <w:rFonts w:ascii="Arial" w:hAnsi="Arial" w:cs="Arial"/>
        </w:rPr>
        <w:t xml:space="preserve">isits utilizing </w:t>
      </w:r>
      <w:r w:rsidR="002C7382">
        <w:rPr>
          <w:rFonts w:ascii="Arial" w:hAnsi="Arial" w:cs="Arial"/>
        </w:rPr>
        <w:t>p</w:t>
      </w:r>
      <w:r w:rsidR="000A1CEC" w:rsidRPr="00346B30">
        <w:rPr>
          <w:rFonts w:ascii="Arial" w:hAnsi="Arial" w:cs="Arial"/>
        </w:rPr>
        <w:t xml:space="preserve">rofessionals in </w:t>
      </w:r>
      <w:r w:rsidR="002C7382">
        <w:rPr>
          <w:rFonts w:ascii="Arial" w:hAnsi="Arial" w:cs="Arial"/>
        </w:rPr>
        <w:t>v</w:t>
      </w:r>
      <w:r w:rsidR="000A1CEC" w:rsidRPr="00346B30">
        <w:rPr>
          <w:rFonts w:ascii="Arial" w:hAnsi="Arial" w:cs="Arial"/>
        </w:rPr>
        <w:t xml:space="preserve">ehicles to furnish </w:t>
      </w:r>
      <w:r w:rsidR="002C7382">
        <w:rPr>
          <w:rFonts w:ascii="Arial" w:hAnsi="Arial" w:cs="Arial"/>
        </w:rPr>
        <w:t>pr</w:t>
      </w:r>
      <w:r w:rsidR="000A1CEC" w:rsidRPr="00346B30">
        <w:rPr>
          <w:rFonts w:ascii="Arial" w:hAnsi="Arial" w:cs="Arial"/>
        </w:rPr>
        <w:t xml:space="preserve">ofessional </w:t>
      </w:r>
      <w:r w:rsidR="002C7382">
        <w:rPr>
          <w:rFonts w:ascii="Arial" w:hAnsi="Arial" w:cs="Arial"/>
        </w:rPr>
        <w:t>s</w:t>
      </w:r>
      <w:r w:rsidR="000A1CEC" w:rsidRPr="00346B30">
        <w:rPr>
          <w:rFonts w:ascii="Arial" w:hAnsi="Arial" w:cs="Arial"/>
        </w:rPr>
        <w:t xml:space="preserve">ervices to patients requiring high-acuity care at the patient’s place of residence; </w:t>
      </w:r>
      <w:r w:rsidR="002C7382">
        <w:rPr>
          <w:rFonts w:ascii="Arial" w:hAnsi="Arial" w:cs="Arial"/>
        </w:rPr>
        <w:t xml:space="preserve">(2) </w:t>
      </w:r>
      <w:r w:rsidR="000A1CEC" w:rsidRPr="00346B30">
        <w:rPr>
          <w:rFonts w:ascii="Arial" w:hAnsi="Arial" w:cs="Arial"/>
        </w:rPr>
        <w:t xml:space="preserve">Bridge Care – Readmission avoidance program involving pre-scheduled </w:t>
      </w:r>
      <w:r w:rsidR="002C7382">
        <w:rPr>
          <w:rFonts w:ascii="Arial" w:hAnsi="Arial" w:cs="Arial"/>
        </w:rPr>
        <w:t>v</w:t>
      </w:r>
      <w:r w:rsidR="000A1CEC" w:rsidRPr="00346B30">
        <w:rPr>
          <w:rFonts w:ascii="Arial" w:hAnsi="Arial" w:cs="Arial"/>
        </w:rPr>
        <w:t xml:space="preserve">isits utilizing </w:t>
      </w:r>
      <w:r w:rsidR="002C7382">
        <w:rPr>
          <w:rFonts w:ascii="Arial" w:hAnsi="Arial" w:cs="Arial"/>
        </w:rPr>
        <w:t>p</w:t>
      </w:r>
      <w:r w:rsidR="000A1CEC" w:rsidRPr="00346B30">
        <w:rPr>
          <w:rFonts w:ascii="Arial" w:hAnsi="Arial" w:cs="Arial"/>
        </w:rPr>
        <w:t xml:space="preserve">rofessionals in </w:t>
      </w:r>
      <w:r w:rsidR="002C7382">
        <w:rPr>
          <w:rFonts w:ascii="Arial" w:hAnsi="Arial" w:cs="Arial"/>
        </w:rPr>
        <w:t>v</w:t>
      </w:r>
      <w:r w:rsidR="000A1CEC" w:rsidRPr="00346B30">
        <w:rPr>
          <w:rFonts w:ascii="Arial" w:hAnsi="Arial" w:cs="Arial"/>
        </w:rPr>
        <w:t xml:space="preserve">ehicles </w:t>
      </w:r>
      <w:r w:rsidR="000A1CEC" w:rsidRPr="00346B30">
        <w:rPr>
          <w:rFonts w:ascii="Arial" w:hAnsi="Arial" w:cs="Arial"/>
        </w:rPr>
        <w:lastRenderedPageBreak/>
        <w:t xml:space="preserve">to furnish </w:t>
      </w:r>
      <w:r w:rsidR="002C7382">
        <w:rPr>
          <w:rFonts w:ascii="Arial" w:hAnsi="Arial" w:cs="Arial"/>
        </w:rPr>
        <w:t>p</w:t>
      </w:r>
      <w:r w:rsidR="000A1CEC" w:rsidRPr="00346B30">
        <w:rPr>
          <w:rFonts w:ascii="Arial" w:hAnsi="Arial" w:cs="Arial"/>
        </w:rPr>
        <w:t xml:space="preserve">rofessional </w:t>
      </w:r>
      <w:r w:rsidR="002C7382">
        <w:rPr>
          <w:rFonts w:ascii="Arial" w:hAnsi="Arial" w:cs="Arial"/>
        </w:rPr>
        <w:t>s</w:t>
      </w:r>
      <w:r w:rsidR="000A1CEC" w:rsidRPr="00346B30">
        <w:rPr>
          <w:rFonts w:ascii="Arial" w:hAnsi="Arial" w:cs="Arial"/>
        </w:rPr>
        <w:t>ervices to patients 24 to 72 hours following discharge from a hospital or other institutional setting at the patient’s place of residence</w:t>
      </w:r>
      <w:r w:rsidR="002C7382">
        <w:rPr>
          <w:rFonts w:ascii="Arial" w:hAnsi="Arial" w:cs="Arial"/>
        </w:rPr>
        <w:t xml:space="preserve">; and (3) </w:t>
      </w:r>
      <w:r w:rsidR="000A1CEC" w:rsidRPr="00346B30">
        <w:rPr>
          <w:rFonts w:ascii="Arial" w:hAnsi="Arial" w:cs="Arial"/>
        </w:rPr>
        <w:t xml:space="preserve">Advanced Care </w:t>
      </w:r>
      <w:r w:rsidR="000A1CEC" w:rsidRPr="00346B30">
        <w:rPr>
          <w:rFonts w:ascii="Arial" w:eastAsia="Times New Roman" w:hAnsi="Arial" w:cs="Arial"/>
        </w:rPr>
        <w:t xml:space="preserve">– Hospital-level care provided to defined at-risk patient populations in their homes via community-based “admissions” to the </w:t>
      </w:r>
      <w:r w:rsidR="002C7382">
        <w:rPr>
          <w:rFonts w:ascii="Arial" w:eastAsia="Times New Roman" w:hAnsi="Arial" w:cs="Arial"/>
        </w:rPr>
        <w:t>a</w:t>
      </w:r>
      <w:r w:rsidR="000A1CEC" w:rsidRPr="00346B30">
        <w:rPr>
          <w:rFonts w:ascii="Arial" w:eastAsia="Times New Roman" w:hAnsi="Arial" w:cs="Arial"/>
        </w:rPr>
        <w:t xml:space="preserve">dvanced </w:t>
      </w:r>
      <w:r w:rsidR="002C7382">
        <w:rPr>
          <w:rFonts w:ascii="Arial" w:eastAsia="Times New Roman" w:hAnsi="Arial" w:cs="Arial"/>
        </w:rPr>
        <w:t>c</w:t>
      </w:r>
      <w:r w:rsidR="000A1CEC" w:rsidRPr="00346B30">
        <w:rPr>
          <w:rFonts w:ascii="Arial" w:eastAsia="Times New Roman" w:hAnsi="Arial" w:cs="Arial"/>
        </w:rPr>
        <w:t xml:space="preserve">are in the </w:t>
      </w:r>
      <w:r w:rsidR="002C7382">
        <w:rPr>
          <w:rFonts w:ascii="Arial" w:eastAsia="Times New Roman" w:hAnsi="Arial" w:cs="Arial"/>
        </w:rPr>
        <w:t>h</w:t>
      </w:r>
      <w:r w:rsidR="000A1CEC" w:rsidRPr="00346B30">
        <w:rPr>
          <w:rFonts w:ascii="Arial" w:eastAsia="Times New Roman" w:hAnsi="Arial" w:cs="Arial"/>
        </w:rPr>
        <w:t>ome program.</w:t>
      </w:r>
      <w:r w:rsidR="002C7382">
        <w:rPr>
          <w:rFonts w:ascii="Arial" w:eastAsia="Times New Roman" w:hAnsi="Arial" w:cs="Arial"/>
        </w:rPr>
        <w:t xml:space="preserve">  </w:t>
      </w:r>
    </w:p>
    <w:p w14:paraId="6D7DE057" w14:textId="77777777" w:rsidR="002C7382" w:rsidRDefault="002C7382" w:rsidP="00A60204">
      <w:pPr>
        <w:jc w:val="both"/>
        <w:rPr>
          <w:rFonts w:ascii="Arial" w:hAnsi="Arial" w:cs="Arial"/>
        </w:rPr>
      </w:pPr>
    </w:p>
    <w:p w14:paraId="1907F394" w14:textId="6C6CAB44" w:rsidR="000A1CEC" w:rsidRPr="00346B30" w:rsidRDefault="000A1CEC" w:rsidP="00A60204">
      <w:pPr>
        <w:jc w:val="both"/>
        <w:rPr>
          <w:rFonts w:ascii="Arial" w:hAnsi="Arial" w:cs="Arial"/>
        </w:rPr>
      </w:pPr>
      <w:r w:rsidRPr="00346B30">
        <w:rPr>
          <w:rFonts w:ascii="Arial" w:hAnsi="Arial" w:cs="Arial"/>
        </w:rPr>
        <w:t xml:space="preserve">Dispatch shall bill Medicare, Medicaid, other applicable third-party payers, or the patient for </w:t>
      </w:r>
      <w:r w:rsidR="002C7382">
        <w:rPr>
          <w:rFonts w:ascii="Arial" w:hAnsi="Arial" w:cs="Arial"/>
        </w:rPr>
        <w:t>p</w:t>
      </w:r>
      <w:r w:rsidRPr="00346B30">
        <w:rPr>
          <w:rFonts w:ascii="Arial" w:hAnsi="Arial" w:cs="Arial"/>
        </w:rPr>
        <w:t xml:space="preserve">rofessional </w:t>
      </w:r>
      <w:r w:rsidR="002C7382">
        <w:rPr>
          <w:rFonts w:ascii="Arial" w:hAnsi="Arial" w:cs="Arial"/>
        </w:rPr>
        <w:t>s</w:t>
      </w:r>
      <w:r w:rsidRPr="00346B30">
        <w:rPr>
          <w:rFonts w:ascii="Arial" w:hAnsi="Arial" w:cs="Arial"/>
        </w:rPr>
        <w:t xml:space="preserve">ervices furnished under </w:t>
      </w:r>
      <w:r w:rsidR="002C7382">
        <w:rPr>
          <w:rFonts w:ascii="Arial" w:hAnsi="Arial" w:cs="Arial"/>
        </w:rPr>
        <w:t xml:space="preserve">this program </w:t>
      </w:r>
      <w:r w:rsidRPr="00346B30">
        <w:rPr>
          <w:rFonts w:ascii="Arial" w:hAnsi="Arial" w:cs="Arial"/>
        </w:rPr>
        <w:t xml:space="preserve">as appropriate and as permitted by the terms of payer policies and/or agreements. </w:t>
      </w:r>
    </w:p>
    <w:p w14:paraId="562387D8" w14:textId="77777777" w:rsidR="002C7382" w:rsidRDefault="002C7382" w:rsidP="00A60204">
      <w:pPr>
        <w:jc w:val="both"/>
        <w:rPr>
          <w:rFonts w:ascii="Arial" w:hAnsi="Arial" w:cs="Arial"/>
        </w:rPr>
      </w:pPr>
    </w:p>
    <w:p w14:paraId="61182611" w14:textId="111462EB" w:rsidR="000A1CEC" w:rsidRDefault="000A1CEC" w:rsidP="00A60204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346B30">
        <w:rPr>
          <w:rFonts w:ascii="Arial" w:hAnsi="Arial" w:cs="Arial"/>
        </w:rPr>
        <w:t xml:space="preserve">The purposes of this program are to support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’s goals in connection with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’s “value-based” programs including to (a) ensure that patients of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’s Participants have access to appropriate post-acute care coordination, clinical integration, and other services following discharge; (b) provide medically appropriate care while reducing unnecessary emergency room utilization; (c) reduce readmissions on the basis of patient complaints that could be appropriately treated at home or in other settings; (d) improve and expand patient access to medically necessary and appropriate care by enhancing care coordination and transitions of care for primary, specialty and follow-up care in ambulatory, inpatient and other settings; (e) implement integrated care coordination programs with physicians, care managers, and other providers and staff; (g) promote redesigned care processes for high quality and efficient service delivery for patients; and (h) promote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’s and Dispatch’s joint efforts to establish </w:t>
      </w:r>
      <w:r w:rsidR="00346B30" w:rsidRPr="00346B30">
        <w:rPr>
          <w:rFonts w:ascii="Arial" w:hAnsi="Arial" w:cs="Arial"/>
        </w:rPr>
        <w:t>ICP ACO</w:t>
      </w:r>
      <w:r w:rsidRPr="00346B30">
        <w:rPr>
          <w:rFonts w:ascii="Arial" w:hAnsi="Arial" w:cs="Arial"/>
        </w:rPr>
        <w:t xml:space="preserve"> as a thought leader and innovator in the delivery of post-acute and in-home care.</w:t>
      </w:r>
      <w:r w:rsidRPr="00346B3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60A3F74" w14:textId="32313323" w:rsidR="00A60204" w:rsidRDefault="00A60204" w:rsidP="00346B30">
      <w:pPr>
        <w:rPr>
          <w:rFonts w:ascii="Arial" w:hAnsi="Arial" w:cs="Arial"/>
          <w:color w:val="333333"/>
          <w:shd w:val="clear" w:color="auto" w:fill="FFFFFF"/>
        </w:rPr>
      </w:pPr>
    </w:p>
    <w:p w14:paraId="24839212" w14:textId="77777777" w:rsidR="00A60204" w:rsidRPr="00346B30" w:rsidRDefault="00A60204" w:rsidP="00346B30">
      <w:pPr>
        <w:rPr>
          <w:rFonts w:ascii="Arial" w:hAnsi="Arial" w:cs="Arial"/>
          <w:color w:val="333333"/>
          <w:shd w:val="clear" w:color="auto" w:fill="FFFFFF"/>
        </w:rPr>
      </w:pPr>
    </w:p>
    <w:p w14:paraId="6DFAC66B" w14:textId="5C77F275" w:rsidR="00B018FC" w:rsidRPr="00A60204" w:rsidRDefault="00346B30" w:rsidP="00346B30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A60204">
        <w:rPr>
          <w:rFonts w:ascii="Arial" w:eastAsia="Times New Roman" w:hAnsi="Arial" w:cs="Arial"/>
          <w:color w:val="4A4A4A"/>
          <w:sz w:val="18"/>
          <w:szCs w:val="18"/>
        </w:rPr>
        <w:t>V 11.01.22</w:t>
      </w:r>
    </w:p>
    <w:p w14:paraId="7AB7F4A6" w14:textId="77777777" w:rsidR="00B018FC" w:rsidRPr="00A60204" w:rsidRDefault="00B018FC" w:rsidP="00B018FC">
      <w:pPr>
        <w:shd w:val="clear" w:color="auto" w:fill="FFFFFF"/>
        <w:spacing w:line="396" w:lineRule="atLeast"/>
        <w:ind w:right="446"/>
        <w:rPr>
          <w:rFonts w:ascii="Arial" w:eastAsia="Times New Roman" w:hAnsi="Arial" w:cs="Arial"/>
          <w:color w:val="4A4A4A"/>
          <w:sz w:val="18"/>
          <w:szCs w:val="18"/>
        </w:rPr>
      </w:pPr>
    </w:p>
    <w:p w14:paraId="3908DF78" w14:textId="77777777" w:rsidR="00B018FC" w:rsidRDefault="00B018FC" w:rsidP="00B018FC">
      <w:pPr>
        <w:rPr>
          <w:rFonts w:asciiTheme="minorHAnsi" w:hAnsiTheme="minorHAnsi" w:cstheme="minorBidi"/>
        </w:rPr>
      </w:pPr>
    </w:p>
    <w:sectPr w:rsidR="00B0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CA693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FE73D02"/>
    <w:multiLevelType w:val="hybridMultilevel"/>
    <w:tmpl w:val="7A34B4D2"/>
    <w:lvl w:ilvl="0" w:tplc="23F0389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w w:val="100"/>
        <w:sz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1B4462"/>
    <w:multiLevelType w:val="hybridMultilevel"/>
    <w:tmpl w:val="3CAACF80"/>
    <w:lvl w:ilvl="0" w:tplc="8334E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FC"/>
    <w:rsid w:val="000A1CEC"/>
    <w:rsid w:val="002C7382"/>
    <w:rsid w:val="00346B30"/>
    <w:rsid w:val="00793777"/>
    <w:rsid w:val="00A60204"/>
    <w:rsid w:val="00B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679E"/>
  <w15:chartTrackingRefBased/>
  <w15:docId w15:val="{669986C2-20C9-4136-AF55-AF247E8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EC"/>
    <w:rPr>
      <w:color w:val="605E5C"/>
      <w:shd w:val="clear" w:color="auto" w:fill="E1DFDD"/>
    </w:rPr>
  </w:style>
  <w:style w:type="paragraph" w:styleId="BodyText">
    <w:name w:val="Body Text"/>
    <w:aliases w:val="BT"/>
    <w:basedOn w:val="Normal"/>
    <w:link w:val="BodyTextChar"/>
    <w:rsid w:val="000A1CEC"/>
    <w:pPr>
      <w:spacing w:after="24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A1CEC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0A1CEC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1CE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Fox Fraser</dc:creator>
  <cp:keywords/>
  <dc:description/>
  <cp:lastModifiedBy>Shannon Fox Fraser</cp:lastModifiedBy>
  <cp:revision>2</cp:revision>
  <dcterms:created xsi:type="dcterms:W3CDTF">2022-11-03T22:08:00Z</dcterms:created>
  <dcterms:modified xsi:type="dcterms:W3CDTF">2022-11-03T22:49:00Z</dcterms:modified>
</cp:coreProperties>
</file>